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1D" w:rsidRPr="00F96790" w:rsidRDefault="00D12B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3533775</wp:posOffset>
            </wp:positionH>
            <wp:positionV relativeFrom="page">
              <wp:posOffset>457200</wp:posOffset>
            </wp:positionV>
            <wp:extent cx="904875" cy="904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Arial" w:hAnsi="Arial" w:cs="Arial"/>
        </w:rPr>
      </w:pPr>
      <w:r w:rsidRPr="00F96790">
        <w:rPr>
          <w:rFonts w:ascii="Arial" w:hAnsi="Arial" w:cs="Arial"/>
          <w:b/>
          <w:bCs/>
          <w:color w:val="1F497D"/>
        </w:rPr>
        <w:t>INFORMACIONI PAKET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</w:rPr>
      </w:pPr>
    </w:p>
    <w:p w:rsidR="007A73CB" w:rsidRDefault="00E1241D" w:rsidP="007A73CB">
      <w:pPr>
        <w:widowControl w:val="0"/>
        <w:autoSpaceDE w:val="0"/>
        <w:autoSpaceDN w:val="0"/>
        <w:adjustRightInd w:val="0"/>
        <w:spacing w:after="0" w:line="239" w:lineRule="auto"/>
        <w:ind w:left="640"/>
        <w:jc w:val="center"/>
        <w:rPr>
          <w:rFonts w:ascii="Arial" w:hAnsi="Arial" w:cs="Arial"/>
          <w:b/>
          <w:bCs/>
          <w:color w:val="1F497D"/>
        </w:rPr>
      </w:pPr>
      <w:r w:rsidRPr="00F96790">
        <w:rPr>
          <w:rFonts w:ascii="Arial" w:hAnsi="Arial" w:cs="Arial"/>
          <w:b/>
          <w:bCs/>
          <w:color w:val="1F497D"/>
        </w:rPr>
        <w:t xml:space="preserve">PROGRAM OSNOVNIH STUDIJA </w:t>
      </w:r>
      <w:r w:rsidR="007A73CB">
        <w:rPr>
          <w:rFonts w:ascii="Arial" w:hAnsi="Arial" w:cs="Arial"/>
          <w:b/>
          <w:bCs/>
          <w:color w:val="1F497D"/>
        </w:rPr>
        <w:t>UNIVERZITETA U LONDONU</w:t>
      </w:r>
    </w:p>
    <w:p w:rsidR="00E1241D" w:rsidRPr="00F96790" w:rsidRDefault="00E1241D" w:rsidP="007A73CB">
      <w:pPr>
        <w:widowControl w:val="0"/>
        <w:autoSpaceDE w:val="0"/>
        <w:autoSpaceDN w:val="0"/>
        <w:adjustRightInd w:val="0"/>
        <w:spacing w:after="0" w:line="239" w:lineRule="auto"/>
        <w:ind w:left="640"/>
        <w:jc w:val="center"/>
        <w:rPr>
          <w:rFonts w:ascii="Arial" w:hAnsi="Arial" w:cs="Arial"/>
        </w:rPr>
      </w:pPr>
      <w:r w:rsidRPr="00F96790">
        <w:rPr>
          <w:rFonts w:ascii="Arial" w:hAnsi="Arial" w:cs="Arial"/>
          <w:b/>
          <w:bCs/>
          <w:color w:val="1F497D"/>
        </w:rPr>
        <w:t>“EKONOMIJA I FINANSIJE”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  <w:b/>
          <w:bCs/>
          <w:color w:val="1F497D"/>
        </w:rPr>
        <w:t>OSNOVNE INFORMACIJE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Od školske 2016/2017. godine na Ekonomskom fakultetu Univerziteta u Beogradu realizuje se program osnovnih studija „Ekonomija i finansije“, koji će studentima obezbeđivati dve diplome – diplomu Univerziteta u Londonu (fakultet-nosilac Londonska škola ekonomije i političkih nauka) i diplomu Univerziteta u Beogradu (Ekonomski fakultet), a na osnovu sporazuma zaključenog između Ekonomskog fakulteta Univerziteta u Beogradu i Univerziteta u Londonu, 14. Juna 2016. godine.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/>
        <w:rPr>
          <w:rFonts w:ascii="Arial" w:hAnsi="Arial" w:cs="Arial"/>
        </w:rPr>
      </w:pPr>
      <w:r w:rsidRPr="00F96790">
        <w:rPr>
          <w:rFonts w:ascii="Arial" w:hAnsi="Arial" w:cs="Arial"/>
        </w:rPr>
        <w:t>Cilj međunarodnog programa osnovnih studije “Ekonomija i finansije” je da studentima omogući da: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</w:rPr>
      </w:pPr>
    </w:p>
    <w:p w:rsidR="00E1241D" w:rsidRPr="00F96790" w:rsidRDefault="00E1241D" w:rsidP="00A956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6" w:lineRule="auto"/>
        <w:ind w:right="280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steknu ekonomski način razmišljanja i shvatanja, kvantitativne veštine i institucionalno znanje potrebno za rešavanje praktičnih problema koji se javljaju u oblasti finansija;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E1241D" w:rsidRPr="00F96790" w:rsidRDefault="00A9565B" w:rsidP="00A956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r</w:t>
      </w:r>
      <w:r w:rsidR="00E1241D" w:rsidRPr="00F96790">
        <w:rPr>
          <w:rFonts w:ascii="Arial" w:hAnsi="Arial" w:cs="Arial"/>
        </w:rPr>
        <w:t>azviju analitičke alate i institucionalno znanje neophodno za rad na poziciji finansijskog stručnjaka.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82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Ovaj program priprema studente za karijeru finansijskog ekonomiste u akademskom okruženju, finansijskom sektoru (investiciono i komercijalno bankarstvo, upravljanje rizicima, istraživački rad, upravljanje fondovima ili trgovina hartijama od vrednosti), ili državnoj upravi.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Osnovne studije traju ukupno četiri godine i nose 240 ESPB. Po završetku prve godine osnovnih studija na Ekonomskom fakultetu u Beogradu, po domaćem programu, zainteresovani studenti koji ispunjavaju definisane uslove moći će da nastave naredne tri godine studija u okviru međunarodnog programa „Ekonomija i finansije“.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1241D" w:rsidRPr="00F96790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Nakon položenih 7 jednosemestralnih ispita prve fakultetu i 10 dvosemestralnih+4 jednosemestralna Londonu, studenti istovremeno stiču dve diplome: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</w:rPr>
      </w:pPr>
      <w:r w:rsidRPr="00F96790">
        <w:rPr>
          <w:rFonts w:ascii="Arial" w:hAnsi="Arial" w:cs="Arial"/>
        </w:rPr>
        <w:br w:type="column"/>
      </w: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20"/>
        <w:rPr>
          <w:rFonts w:ascii="Arial" w:hAnsi="Arial" w:cs="Arial"/>
        </w:rPr>
      </w:pPr>
      <w:r w:rsidRPr="00F96790">
        <w:rPr>
          <w:rFonts w:ascii="Arial" w:hAnsi="Arial" w:cs="Arial"/>
        </w:rPr>
        <w:t>godine osnovnih studija na Ekonomskom ispita propisanih programom Univerziteta u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1241D" w:rsidRPr="00F96790">
          <w:type w:val="continuous"/>
          <w:pgSz w:w="12240" w:h="15840"/>
          <w:pgMar w:top="1440" w:right="1440" w:bottom="1440" w:left="1440" w:header="720" w:footer="720" w:gutter="0"/>
          <w:cols w:num="2" w:space="100" w:equalWidth="0">
            <w:col w:w="5020" w:space="100"/>
            <w:col w:w="4240"/>
          </w:cols>
          <w:noEndnote/>
        </w:sect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81" w:lineRule="exact"/>
        <w:rPr>
          <w:rFonts w:ascii="Arial" w:hAnsi="Arial" w:cs="Arial"/>
        </w:rPr>
      </w:pPr>
    </w:p>
    <w:p w:rsidR="00E1241D" w:rsidRPr="00F96790" w:rsidRDefault="00E1241D" w:rsidP="00A9565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diplomu Univerziteta u Londonu (fakultet-nosilac Londonska škola ekonomije i političkih nauka) i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</w:rPr>
      </w:pPr>
    </w:p>
    <w:p w:rsidR="00E1241D" w:rsidRPr="00F96790" w:rsidRDefault="00E1241D" w:rsidP="00A9565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diplomu Univerziteta u Beogradu (Ekonomski fakultet).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Univerzitet u Londonu organizuje međunarodne programe osnovnih studija od 1858. godine. Sedam dobitnika Nobelove nagrade je diplomiralo na međunarodnim programima Univerziteta u Lodnonu, dok je na Londonskoj školi ekonomije i političkih nauka (LSE) diplomiralo ili bilo angažovano 16 dobitnika Nobelove nagrade. Diploma izdata od strane Univerziteta u Londonu studentima ovog Međunarodnog programa izdata je po standardima koji važe na fakultetu – nosiocu (LSE), što ovu diplomu čini međunarodno prestižnom. LSE je najbolje rangirana visokoškolska ustanova za oblast ekonomije i finansija u Evropi.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1241D" w:rsidRPr="00F96790">
          <w:type w:val="continuous"/>
          <w:pgSz w:w="12240" w:h="15840"/>
          <w:pgMar w:top="1440" w:right="1440" w:bottom="1440" w:left="1440" w:header="720" w:footer="720" w:gutter="0"/>
          <w:cols w:space="100" w:equalWidth="0">
            <w:col w:w="9360"/>
          </w:cols>
          <w:noEndnote/>
        </w:sect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</w:rPr>
      </w:pPr>
      <w:bookmarkStart w:id="0" w:name="page2"/>
      <w:bookmarkEnd w:id="0"/>
    </w:p>
    <w:p w:rsidR="00E1241D" w:rsidRPr="00F96790" w:rsidRDefault="00E1241D" w:rsidP="000C731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Po završetku ovog programa, studenti mogu nastaviti master studije na LSE u Londonu, a u toku studija mogu učestvovati u programima međunarodne razmene studenata na drugim univerzitetima koji realizuju ovakav program (npr. u Moskvi, Singapuru i dr.).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  <w:b/>
          <w:bCs/>
          <w:color w:val="1F497D"/>
        </w:rPr>
        <w:t>NASTAVNI PLAN, PROGRAM I LITERATURA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LSE, kao fakultet-nosilac programa ispred Univerziteta u Londonu, propisuje nastavni program, literaturu i vrši ispitivanje i ocenjivanje studenata na ovom međunarodnom programu.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Nastavni plan i program u okviru ovog programa sastoji se od 7 jednosemestralnih predmeta prve godine Ekonomskog fakulteta</w:t>
      </w:r>
      <w:r w:rsidR="00BD579A" w:rsidRPr="00F96790">
        <w:rPr>
          <w:rStyle w:val="FootnoteReference"/>
          <w:rFonts w:ascii="Arial" w:hAnsi="Arial" w:cs="Arial"/>
        </w:rPr>
        <w:footnoteReference w:id="2"/>
      </w:r>
      <w:r w:rsidRPr="00F96790">
        <w:rPr>
          <w:rFonts w:ascii="Arial" w:hAnsi="Arial" w:cs="Arial"/>
        </w:rPr>
        <w:t xml:space="preserve"> i 10 dvosemestralnih + 4 jednosemestralna predmeta propisanih od strane LSE, koji se pohađaju na drugoj, trećoj i četvrtoj godini studija.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</w:rPr>
      </w:pPr>
    </w:p>
    <w:p w:rsidR="00E1241D" w:rsidRPr="00F96790" w:rsidRDefault="00E1241D" w:rsidP="00BD579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Forma i način ispitivanja na ovom međunarodnom programu u potpunosti su uporedivi sa planom i programom studiranja i režimom ispitivanja koji se primenjuje na studijama koje LSE realizuje u Londonu, tako da su znanja i veštine stečena kroz ovaj program u potpunosti uporedivi sa znanjima i veštinama koja se stiču studiranjem na LSE.</w:t>
      </w:r>
    </w:p>
    <w:p w:rsidR="00E1241D" w:rsidRPr="00F96790" w:rsidRDefault="007A73C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Ovaj p</w:t>
      </w:r>
      <w:r w:rsidR="00E1241D" w:rsidRPr="00F96790">
        <w:rPr>
          <w:rFonts w:ascii="Arial" w:hAnsi="Arial" w:cs="Arial"/>
        </w:rPr>
        <w:t>rogram, na drugoj, trećoj i četvrtoj godini studija, definisan od strane LSE sastoji se od sledećih predmeta i literature: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Introduction to economics </w:t>
      </w: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i/>
          <w:iCs/>
        </w:rPr>
        <w:t xml:space="preserve">Literature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rPr>
          <w:rFonts w:ascii="Arial" w:hAnsi="Arial" w:cs="Arial"/>
          <w:b/>
          <w:bCs/>
        </w:rPr>
      </w:pPr>
      <w:r w:rsidRPr="00F96790">
        <w:rPr>
          <w:rFonts w:ascii="Arial" w:hAnsi="Arial" w:cs="Arial"/>
        </w:rPr>
        <w:t xml:space="preserve">Primary textbook: Begg, D., S. Fischer and R. Dornbusch </w:t>
      </w:r>
      <w:r w:rsidRPr="00F96790">
        <w:rPr>
          <w:rFonts w:ascii="Arial" w:hAnsi="Arial" w:cs="Arial"/>
          <w:i/>
        </w:rPr>
        <w:t>Economics</w:t>
      </w:r>
      <w:r w:rsidRPr="00F96790">
        <w:rPr>
          <w:rFonts w:ascii="Arial" w:hAnsi="Arial" w:cs="Arial"/>
        </w:rPr>
        <w:t xml:space="preserve">. (McGraw Hill). Supplementary textbooks: Lipsey, R.G. and K.A. Chrystal </w:t>
      </w:r>
      <w:r w:rsidRPr="00F96790">
        <w:rPr>
          <w:rFonts w:ascii="Arial" w:hAnsi="Arial" w:cs="Arial"/>
          <w:i/>
        </w:rPr>
        <w:t>Economics</w:t>
      </w:r>
      <w:r w:rsidRPr="00F96790">
        <w:rPr>
          <w:rFonts w:ascii="Arial" w:hAnsi="Arial" w:cs="Arial"/>
        </w:rPr>
        <w:t xml:space="preserve">. (Oxford University Press) and Witztum, A. </w:t>
      </w:r>
      <w:r w:rsidRPr="00F96790">
        <w:rPr>
          <w:rFonts w:ascii="Arial" w:hAnsi="Arial" w:cs="Arial"/>
          <w:i/>
        </w:rPr>
        <w:t>Economics</w:t>
      </w:r>
      <w:r w:rsidRPr="00F96790">
        <w:rPr>
          <w:rFonts w:ascii="Arial" w:hAnsi="Arial" w:cs="Arial"/>
        </w:rPr>
        <w:t xml:space="preserve"> (Oxford: Oxford University Press)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Mathematics 1 (half course)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  <w:i/>
          <w:iCs/>
        </w:rPr>
        <w:t>Literature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360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Anthony, M. and N. Biggs </w:t>
      </w:r>
      <w:r w:rsidRPr="00F96790">
        <w:rPr>
          <w:rFonts w:ascii="Arial" w:hAnsi="Arial" w:cs="Arial"/>
          <w:i/>
        </w:rPr>
        <w:t>Mathematics for Economics and Finance</w:t>
      </w:r>
      <w:r w:rsidRPr="00F96790">
        <w:rPr>
          <w:rFonts w:ascii="Arial" w:hAnsi="Arial" w:cs="Arial"/>
        </w:rPr>
        <w:t>. (Cambridge: Cambridge University Press)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>Mathematics 2 (half course)</w:t>
      </w:r>
      <w:r w:rsidR="00BD579A" w:rsidRPr="00F96790">
        <w:rPr>
          <w:rStyle w:val="FootnoteReference"/>
          <w:rFonts w:ascii="Arial" w:hAnsi="Arial" w:cs="Arial"/>
          <w:b/>
          <w:bCs/>
        </w:rPr>
        <w:footnoteReference w:id="3"/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i/>
          <w:iCs/>
        </w:rPr>
        <w:t xml:space="preserve">Literature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b/>
          <w:bCs/>
        </w:rPr>
      </w:pPr>
    </w:p>
    <w:p w:rsidR="000C731E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360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Anthony, M. and N. Biggs </w:t>
      </w:r>
      <w:r w:rsidRPr="00F96790">
        <w:rPr>
          <w:rFonts w:ascii="Arial" w:hAnsi="Arial" w:cs="Arial"/>
          <w:i/>
        </w:rPr>
        <w:t>Mathematics for Economics and Finance</w:t>
      </w:r>
      <w:r w:rsidRPr="00F96790">
        <w:rPr>
          <w:rFonts w:ascii="Arial" w:hAnsi="Arial" w:cs="Arial"/>
        </w:rPr>
        <w:t xml:space="preserve">. (Cambridge: Cambridge University Press)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Statistics 1 (half course)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  <w:i/>
          <w:iCs/>
        </w:rPr>
        <w:t>Literature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780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Newbold,P., W. Carlson and B. Thorne </w:t>
      </w:r>
      <w:r w:rsidRPr="00F96790">
        <w:rPr>
          <w:rFonts w:ascii="Arial" w:hAnsi="Arial" w:cs="Arial"/>
          <w:i/>
        </w:rPr>
        <w:t>Statistics for Business and Economics</w:t>
      </w:r>
      <w:r w:rsidRPr="00F96790">
        <w:rPr>
          <w:rFonts w:ascii="Arial" w:hAnsi="Arial" w:cs="Arial"/>
        </w:rPr>
        <w:t>. (Pearson Education) Lindley, D.V. and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W.F. Scott. </w:t>
      </w:r>
      <w:r w:rsidRPr="00F96790">
        <w:rPr>
          <w:rFonts w:ascii="Arial" w:hAnsi="Arial" w:cs="Arial"/>
          <w:i/>
        </w:rPr>
        <w:t>New Cambridge Statistical Tables</w:t>
      </w:r>
      <w:r w:rsidRPr="00F96790">
        <w:rPr>
          <w:rFonts w:ascii="Arial" w:hAnsi="Arial" w:cs="Arial"/>
        </w:rPr>
        <w:t>. (Cambridge: Cambridge University Press)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  <w:b/>
          <w:bCs/>
        </w:rPr>
        <w:t>5.  Statistics 2 (half course)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  <w:i/>
          <w:iCs/>
        </w:rPr>
        <w:t>Literature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</w:rPr>
      </w:pPr>
    </w:p>
    <w:p w:rsidR="00BD579A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40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Newbold, P., W. Carlson and B. Thorne </w:t>
      </w:r>
      <w:r w:rsidRPr="00F96790">
        <w:rPr>
          <w:rFonts w:ascii="Arial" w:hAnsi="Arial" w:cs="Arial"/>
          <w:i/>
        </w:rPr>
        <w:t>Statistics for Business and Economics</w:t>
      </w:r>
      <w:r w:rsidRPr="00F96790">
        <w:rPr>
          <w:rFonts w:ascii="Arial" w:hAnsi="Arial" w:cs="Arial"/>
        </w:rPr>
        <w:t>.</w:t>
      </w:r>
    </w:p>
    <w:p w:rsidR="00BD579A" w:rsidRPr="00F96790" w:rsidRDefault="00E1241D" w:rsidP="00BD579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40"/>
        <w:rPr>
          <w:rFonts w:ascii="Arial" w:hAnsi="Arial" w:cs="Arial"/>
        </w:rPr>
      </w:pPr>
      <w:r w:rsidRPr="00F96790">
        <w:rPr>
          <w:rFonts w:ascii="Arial" w:hAnsi="Arial" w:cs="Arial"/>
        </w:rPr>
        <w:t>(London: Pearson).</w:t>
      </w:r>
    </w:p>
    <w:p w:rsidR="000C731E" w:rsidRPr="00F96790" w:rsidRDefault="000C731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lastRenderedPageBreak/>
        <w:t xml:space="preserve">Principles of banking and finance </w:t>
      </w:r>
    </w:p>
    <w:p w:rsidR="000C731E" w:rsidRPr="00F96790" w:rsidRDefault="000C731E" w:rsidP="000C73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i/>
          <w:iCs/>
        </w:rPr>
        <w:t xml:space="preserve">Literature </w:t>
      </w:r>
    </w:p>
    <w:p w:rsidR="000C731E" w:rsidRPr="00F96790" w:rsidRDefault="000C731E" w:rsidP="000C731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b/>
          <w:bCs/>
        </w:rPr>
      </w:pPr>
    </w:p>
    <w:p w:rsidR="00D940F4" w:rsidRPr="00F96790" w:rsidRDefault="000C731E" w:rsidP="000C731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280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Mishkin, F. and S. Eakins </w:t>
      </w:r>
      <w:r w:rsidRPr="00F96790">
        <w:rPr>
          <w:rFonts w:ascii="Arial" w:hAnsi="Arial" w:cs="Arial"/>
          <w:i/>
        </w:rPr>
        <w:t>Financial Markets and Institutions</w:t>
      </w:r>
      <w:r w:rsidRPr="00F96790">
        <w:rPr>
          <w:rFonts w:ascii="Arial" w:hAnsi="Arial" w:cs="Arial"/>
        </w:rPr>
        <w:t xml:space="preserve">. (Addison Wesley) Allen, F. and D. Gale </w:t>
      </w:r>
      <w:r w:rsidRPr="00F96790">
        <w:rPr>
          <w:rFonts w:ascii="Arial" w:hAnsi="Arial" w:cs="Arial"/>
          <w:i/>
        </w:rPr>
        <w:t>Comparing Financial Systems</w:t>
      </w:r>
      <w:r w:rsidRPr="00F96790">
        <w:rPr>
          <w:rFonts w:ascii="Arial" w:hAnsi="Arial" w:cs="Arial"/>
        </w:rPr>
        <w:t xml:space="preserve">. (MIT Press) </w:t>
      </w:r>
    </w:p>
    <w:p w:rsidR="000C731E" w:rsidRPr="00F96790" w:rsidRDefault="000C731E" w:rsidP="000C731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280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Brealey, R.A. and S.C. Myers </w:t>
      </w:r>
      <w:r w:rsidRPr="00F96790">
        <w:rPr>
          <w:rFonts w:ascii="Arial" w:hAnsi="Arial" w:cs="Arial"/>
          <w:i/>
        </w:rPr>
        <w:t>Principles of Corporate Finance</w:t>
      </w:r>
      <w:r w:rsidRPr="00F96790">
        <w:rPr>
          <w:rFonts w:ascii="Arial" w:hAnsi="Arial" w:cs="Arial"/>
        </w:rPr>
        <w:t xml:space="preserve">. (McGraw-Hill/Irwin) </w:t>
      </w:r>
    </w:p>
    <w:p w:rsidR="000C731E" w:rsidRPr="00F96790" w:rsidRDefault="000C731E" w:rsidP="000C73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Macroeconomics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  <w:i/>
          <w:iCs/>
        </w:rPr>
        <w:t>Literature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Blanchard, O. </w:t>
      </w:r>
      <w:r w:rsidRPr="00F96790">
        <w:rPr>
          <w:rFonts w:ascii="Arial" w:hAnsi="Arial" w:cs="Arial"/>
          <w:i/>
        </w:rPr>
        <w:t>Macroeconomics</w:t>
      </w:r>
      <w:r w:rsidRPr="00F96790">
        <w:rPr>
          <w:rFonts w:ascii="Arial" w:hAnsi="Arial" w:cs="Arial"/>
        </w:rPr>
        <w:t>. (Prentice Hall)</w:t>
      </w:r>
    </w:p>
    <w:p w:rsidR="001131DE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Dornbusch, R., S. Fischer and R. Startz </w:t>
      </w:r>
      <w:r w:rsidRPr="00F96790">
        <w:rPr>
          <w:rFonts w:ascii="Arial" w:hAnsi="Arial" w:cs="Arial"/>
          <w:i/>
        </w:rPr>
        <w:t>Macroeconomics</w:t>
      </w:r>
      <w:r w:rsidRPr="00F96790">
        <w:rPr>
          <w:rFonts w:ascii="Arial" w:hAnsi="Arial" w:cs="Arial"/>
        </w:rPr>
        <w:t xml:space="preserve">. (McGraw-Hill)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>Mankiw, N.G.</w:t>
      </w:r>
      <w:r w:rsidR="001131DE" w:rsidRPr="00F96790">
        <w:rPr>
          <w:rFonts w:ascii="Arial" w:hAnsi="Arial" w:cs="Arial"/>
        </w:rPr>
        <w:t xml:space="preserve"> </w:t>
      </w:r>
      <w:r w:rsidRPr="00F96790">
        <w:rPr>
          <w:rFonts w:ascii="Arial" w:hAnsi="Arial" w:cs="Arial"/>
          <w:i/>
        </w:rPr>
        <w:t>Macroeconomics</w:t>
      </w:r>
      <w:r w:rsidRPr="00F96790">
        <w:rPr>
          <w:rFonts w:ascii="Arial" w:hAnsi="Arial" w:cs="Arial"/>
        </w:rPr>
        <w:t>. (Worth)</w:t>
      </w:r>
    </w:p>
    <w:p w:rsidR="000C731E" w:rsidRPr="00F96790" w:rsidRDefault="000C731E" w:rsidP="000C731E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b/>
          <w:lang w:val="en-GB"/>
        </w:rPr>
      </w:pPr>
      <w:r w:rsidRPr="00F96790">
        <w:rPr>
          <w:rFonts w:ascii="Arial" w:hAnsi="Arial" w:cs="Arial"/>
          <w:b/>
          <w:lang w:val="en-GB"/>
        </w:rPr>
        <w:t>Pre-requisites</w:t>
      </w:r>
    </w:p>
    <w:p w:rsidR="000C731E" w:rsidRPr="00F96790" w:rsidRDefault="000C731E" w:rsidP="000C731E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lang w:val="en-GB"/>
        </w:rPr>
      </w:pPr>
      <w:r w:rsidRPr="00F96790">
        <w:rPr>
          <w:rFonts w:ascii="Arial" w:hAnsi="Arial" w:cs="Arial"/>
          <w:lang w:val="en-GB"/>
        </w:rPr>
        <w:t>Mathematics 1 and Introduction to Economics courses must be passed before this course may be attempted.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Microeconomics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i/>
          <w:iCs/>
        </w:rPr>
        <w:t xml:space="preserve">Literature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</w:rPr>
        <w:t xml:space="preserve">Nicholson and Snyder, </w:t>
      </w:r>
      <w:r w:rsidRPr="00F96790">
        <w:rPr>
          <w:rFonts w:ascii="Arial" w:hAnsi="Arial" w:cs="Arial"/>
          <w:i/>
        </w:rPr>
        <w:t>Intermediate Microeconomics and its Application</w:t>
      </w:r>
      <w:r w:rsidRPr="00F96790">
        <w:rPr>
          <w:rFonts w:ascii="Arial" w:hAnsi="Arial" w:cs="Arial"/>
        </w:rPr>
        <w:t>, 12</w:t>
      </w:r>
      <w:r w:rsidRPr="00F96790">
        <w:rPr>
          <w:rFonts w:ascii="Arial" w:hAnsi="Arial" w:cs="Arial"/>
          <w:vertAlign w:val="superscript"/>
        </w:rPr>
        <w:t>th</w:t>
      </w:r>
      <w:r w:rsidRPr="00F96790">
        <w:rPr>
          <w:rFonts w:ascii="Arial" w:hAnsi="Arial" w:cs="Arial"/>
        </w:rPr>
        <w:t xml:space="preserve"> ed 2015, Cengage Learning </w:t>
      </w:r>
    </w:p>
    <w:p w:rsidR="000C731E" w:rsidRPr="00F96790" w:rsidRDefault="000C731E" w:rsidP="000C731E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b/>
          <w:bCs/>
          <w:lang w:val="en-GB"/>
        </w:rPr>
      </w:pPr>
      <w:r w:rsidRPr="00F96790">
        <w:rPr>
          <w:rFonts w:ascii="Arial" w:hAnsi="Arial" w:cs="Arial"/>
          <w:b/>
          <w:bCs/>
          <w:lang w:val="en-GB"/>
        </w:rPr>
        <w:t>Pre-requisites</w:t>
      </w:r>
    </w:p>
    <w:p w:rsidR="000C731E" w:rsidRPr="00F96790" w:rsidRDefault="000C731E" w:rsidP="000C731E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bCs/>
          <w:lang w:val="en-GB"/>
        </w:rPr>
      </w:pPr>
      <w:r w:rsidRPr="00F96790">
        <w:rPr>
          <w:rFonts w:ascii="Arial" w:hAnsi="Arial" w:cs="Arial"/>
          <w:bCs/>
          <w:lang w:val="en-GB"/>
        </w:rPr>
        <w:t>Mathematics 1 and Introduction to Economics courses must be passed before this course may be attempted.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Elements of econometrics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  <w:i/>
          <w:iCs/>
        </w:rPr>
        <w:t>Literature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Dougherty, C. </w:t>
      </w:r>
      <w:r w:rsidRPr="00F96790">
        <w:rPr>
          <w:rFonts w:ascii="Arial" w:hAnsi="Arial" w:cs="Arial"/>
          <w:i/>
        </w:rPr>
        <w:t>Introduction to Econometrics</w:t>
      </w:r>
      <w:r w:rsidRPr="00F96790">
        <w:rPr>
          <w:rFonts w:ascii="Arial" w:hAnsi="Arial" w:cs="Arial"/>
        </w:rPr>
        <w:t>. (Oxford: Oxford University Press)</w:t>
      </w:r>
    </w:p>
    <w:p w:rsidR="006575F6" w:rsidRPr="00F96790" w:rsidRDefault="006575F6" w:rsidP="00657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  <w:r w:rsidRPr="00F96790">
        <w:rPr>
          <w:rFonts w:ascii="Arial" w:hAnsi="Arial" w:cs="Arial"/>
          <w:b/>
          <w:lang w:val="en-GB"/>
        </w:rPr>
        <w:t>Pre-requisites</w:t>
      </w:r>
    </w:p>
    <w:p w:rsidR="006575F6" w:rsidRPr="00F96790" w:rsidRDefault="00821B21" w:rsidP="00657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F96790">
        <w:rPr>
          <w:rFonts w:ascii="Arial" w:hAnsi="Arial" w:cs="Arial"/>
          <w:lang w:val="en-GB"/>
        </w:rPr>
        <w:t xml:space="preserve">Introduction to Economics, </w:t>
      </w:r>
      <w:r w:rsidR="006575F6" w:rsidRPr="00F96790">
        <w:rPr>
          <w:rFonts w:ascii="Arial" w:hAnsi="Arial" w:cs="Arial"/>
          <w:lang w:val="en-GB"/>
        </w:rPr>
        <w:t xml:space="preserve">Mathematics 1 </w:t>
      </w:r>
      <w:r w:rsidRPr="00F96790">
        <w:rPr>
          <w:rFonts w:ascii="Arial" w:hAnsi="Arial" w:cs="Arial"/>
          <w:lang w:val="en-GB"/>
        </w:rPr>
        <w:t>and</w:t>
      </w:r>
      <w:r w:rsidR="006575F6" w:rsidRPr="00F96790">
        <w:rPr>
          <w:rFonts w:ascii="Arial" w:hAnsi="Arial" w:cs="Arial"/>
          <w:lang w:val="en-GB"/>
        </w:rPr>
        <w:t xml:space="preserve"> 2 and Statistics 1 </w:t>
      </w:r>
      <w:r w:rsidRPr="00F96790">
        <w:rPr>
          <w:rFonts w:ascii="Arial" w:hAnsi="Arial" w:cs="Arial"/>
          <w:lang w:val="en-GB"/>
        </w:rPr>
        <w:t>and</w:t>
      </w:r>
      <w:r w:rsidR="006575F6" w:rsidRPr="00F96790">
        <w:rPr>
          <w:rFonts w:ascii="Arial" w:hAnsi="Arial" w:cs="Arial"/>
          <w:lang w:val="en-GB"/>
        </w:rPr>
        <w:t xml:space="preserve"> 2 courses must be passed before this course may be attempted.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</w:p>
    <w:p w:rsidR="00827D84" w:rsidRPr="00827D84" w:rsidRDefault="00827D84" w:rsidP="00827D84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827D84">
        <w:rPr>
          <w:rFonts w:ascii="Arial" w:hAnsi="Arial" w:cs="Arial"/>
          <w:b/>
          <w:bCs/>
        </w:rPr>
        <w:t>Asset pricing and financial markets</w:t>
      </w: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i/>
          <w:iCs/>
        </w:rPr>
        <w:t xml:space="preserve">Literature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:rsidR="00E1241D" w:rsidRPr="00F96790" w:rsidRDefault="00827D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27D84">
        <w:rPr>
          <w:rFonts w:ascii="Arial" w:hAnsi="Arial" w:cs="Arial"/>
        </w:rPr>
        <w:t>Brealey, R, Myers, S. and F. Allen Principles of Corporate Finance. 11th edition. (McGraw Hill)</w:t>
      </w:r>
    </w:p>
    <w:p w:rsidR="00B36898" w:rsidRPr="00F96790" w:rsidRDefault="00B36898" w:rsidP="00B36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96790">
        <w:rPr>
          <w:rFonts w:ascii="Arial" w:hAnsi="Arial" w:cs="Arial"/>
          <w:b/>
          <w:bCs/>
          <w:lang w:val="en-GB"/>
        </w:rPr>
        <w:t xml:space="preserve">Pre-requisites </w:t>
      </w:r>
    </w:p>
    <w:p w:rsidR="00B36898" w:rsidRDefault="00B36898" w:rsidP="00B36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 w:rsidRPr="00F96790">
        <w:rPr>
          <w:rFonts w:ascii="Arial" w:hAnsi="Arial" w:cs="Arial"/>
          <w:bCs/>
          <w:lang w:val="en-GB"/>
        </w:rPr>
        <w:t>Introduction to Economics and either Mathematics 1 or Mathematics 2 must be passed before this course may be attempted.</w:t>
      </w:r>
    </w:p>
    <w:p w:rsidR="00827D84" w:rsidRDefault="00827D84" w:rsidP="00B36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827D84" w:rsidRPr="00827D84" w:rsidRDefault="00566410" w:rsidP="00B36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and</w:t>
      </w:r>
    </w:p>
    <w:p w:rsidR="00827D84" w:rsidRDefault="00827D84" w:rsidP="00B36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827D84" w:rsidRPr="00F96790" w:rsidRDefault="00827D84" w:rsidP="00B36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827D84">
        <w:rPr>
          <w:rFonts w:ascii="Arial" w:hAnsi="Arial" w:cs="Arial"/>
          <w:b/>
          <w:bCs/>
          <w:lang w:val="en-GB"/>
        </w:rPr>
        <w:t>Principles of Corporate Finance</w:t>
      </w:r>
    </w:p>
    <w:p w:rsidR="00827D84" w:rsidRPr="00F96790" w:rsidRDefault="00827D84" w:rsidP="00827D8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i/>
          <w:iCs/>
        </w:rPr>
        <w:t xml:space="preserve">Literature </w:t>
      </w:r>
    </w:p>
    <w:p w:rsidR="00827D84" w:rsidRPr="00F96790" w:rsidRDefault="00827D84" w:rsidP="00827D84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:rsidR="00827D84" w:rsidRDefault="00827D84" w:rsidP="00827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7D84">
        <w:rPr>
          <w:rFonts w:ascii="Arial" w:hAnsi="Arial" w:cs="Arial"/>
        </w:rPr>
        <w:t>Brealey, Richard A., Stewart C. Myers, and Franklin Allen. Principles of Corporate Finance. (McGraw-Hill Education</w:t>
      </w:r>
      <w:r>
        <w:rPr>
          <w:rFonts w:ascii="Arial" w:hAnsi="Arial" w:cs="Arial"/>
        </w:rPr>
        <w:t>)</w:t>
      </w:r>
    </w:p>
    <w:p w:rsidR="00827D84" w:rsidRPr="00F96790" w:rsidRDefault="00827D84" w:rsidP="00827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96790">
        <w:rPr>
          <w:rFonts w:ascii="Arial" w:hAnsi="Arial" w:cs="Arial"/>
          <w:b/>
          <w:bCs/>
          <w:lang w:val="en-GB"/>
        </w:rPr>
        <w:t xml:space="preserve">Pre-requisites </w:t>
      </w:r>
    </w:p>
    <w:p w:rsidR="00827D84" w:rsidRDefault="00827D84" w:rsidP="00827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 w:rsidRPr="00F96790">
        <w:rPr>
          <w:rFonts w:ascii="Arial" w:hAnsi="Arial" w:cs="Arial"/>
          <w:bCs/>
          <w:lang w:val="en-GB"/>
        </w:rPr>
        <w:t>Introduction to Economics and either Mathematics 1 or Mathematics 2 must be passed before this course may be attempted.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Monetary economics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  <w:i/>
          <w:iCs/>
        </w:rPr>
        <w:t>Literature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</w:rPr>
      </w:pPr>
    </w:p>
    <w:p w:rsidR="00E1241D" w:rsidRPr="00F96790" w:rsidRDefault="00E1241D" w:rsidP="0026567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0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Lewis, M.K. and P.D. Mizen, </w:t>
      </w:r>
      <w:r w:rsidRPr="00F96790">
        <w:rPr>
          <w:rFonts w:ascii="Arial" w:hAnsi="Arial" w:cs="Arial"/>
          <w:i/>
        </w:rPr>
        <w:t>Monetary Economics</w:t>
      </w:r>
      <w:r w:rsidRPr="00F96790">
        <w:rPr>
          <w:rFonts w:ascii="Arial" w:hAnsi="Arial" w:cs="Arial"/>
        </w:rPr>
        <w:t>. (Oxford; New York: Oxford University Press) Carlin,W. and</w:t>
      </w:r>
      <w:r w:rsidR="0026567B" w:rsidRPr="00F96790">
        <w:rPr>
          <w:rFonts w:ascii="Arial" w:hAnsi="Arial" w:cs="Arial"/>
        </w:rPr>
        <w:t xml:space="preserve"> </w:t>
      </w:r>
      <w:r w:rsidRPr="00F96790">
        <w:rPr>
          <w:rFonts w:ascii="Arial" w:hAnsi="Arial" w:cs="Arial"/>
        </w:rPr>
        <w:t xml:space="preserve">D. Soskice </w:t>
      </w:r>
      <w:r w:rsidRPr="00F96790">
        <w:rPr>
          <w:rFonts w:ascii="Arial" w:hAnsi="Arial" w:cs="Arial"/>
          <w:i/>
        </w:rPr>
        <w:t>Macroeconomics: Imperfections, Institutions and Policies</w:t>
      </w:r>
      <w:r w:rsidRPr="00F96790">
        <w:rPr>
          <w:rFonts w:ascii="Arial" w:hAnsi="Arial" w:cs="Arial"/>
        </w:rPr>
        <w:t xml:space="preserve">. (Oxford: </w:t>
      </w:r>
      <w:r w:rsidRPr="00F96790">
        <w:rPr>
          <w:rFonts w:ascii="Arial" w:hAnsi="Arial" w:cs="Arial"/>
        </w:rPr>
        <w:lastRenderedPageBreak/>
        <w:t>Oxford University Press) and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rPr>
          <w:rFonts w:ascii="Arial" w:hAnsi="Arial" w:cs="Arial"/>
        </w:rPr>
      </w:pPr>
      <w:r w:rsidRPr="00F96790">
        <w:rPr>
          <w:rFonts w:ascii="Arial" w:hAnsi="Arial" w:cs="Arial"/>
        </w:rPr>
        <w:t>Selected articles from the Journal of Monetary Economics, American Economic Review; Journal of Political Economy; Quarterly Journal of Economics; Review of Economics and Statistics; Review of Economic Studies, Economic Inquiry.</w:t>
      </w:r>
    </w:p>
    <w:p w:rsidR="00CC7AA7" w:rsidRPr="00F96790" w:rsidRDefault="00CC7AA7" w:rsidP="00CC7AA7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F96790">
        <w:rPr>
          <w:rFonts w:ascii="Arial" w:hAnsi="Arial" w:cs="Arial"/>
          <w:b/>
          <w:lang w:val="en-GB"/>
        </w:rPr>
        <w:t xml:space="preserve">Prerequisites </w:t>
      </w:r>
    </w:p>
    <w:p w:rsidR="00CC7AA7" w:rsidRPr="00F96790" w:rsidRDefault="00CC7AA7" w:rsidP="00CC7AA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96790">
        <w:rPr>
          <w:rFonts w:ascii="Arial" w:hAnsi="Arial" w:cs="Arial"/>
          <w:lang w:val="en-GB"/>
        </w:rPr>
        <w:t>Macroeconomics course must be passed before this course may be attempted.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b/>
          <w:bCs/>
        </w:rPr>
        <w:t xml:space="preserve">Quantitative finance </w:t>
      </w: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  <w:i/>
          <w:iCs/>
        </w:rPr>
        <w:t xml:space="preserve">Literature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40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</w:rPr>
        <w:t xml:space="preserve">Christoffersen, P.F., </w:t>
      </w:r>
      <w:r w:rsidRPr="00F96790">
        <w:rPr>
          <w:rFonts w:ascii="Arial" w:hAnsi="Arial" w:cs="Arial"/>
          <w:i/>
        </w:rPr>
        <w:t>Elements of Financial Risk Management</w:t>
      </w:r>
      <w:r w:rsidRPr="00F96790">
        <w:rPr>
          <w:rFonts w:ascii="Arial" w:hAnsi="Arial" w:cs="Arial"/>
        </w:rPr>
        <w:t xml:space="preserve">, Second Edition. (Academic Press, London)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</w:rPr>
      </w:pPr>
      <w:r w:rsidRPr="00F96790">
        <w:rPr>
          <w:rFonts w:ascii="Arial" w:hAnsi="Arial" w:cs="Arial"/>
        </w:rPr>
        <w:t xml:space="preserve">Diebold, F.X., </w:t>
      </w:r>
      <w:r w:rsidRPr="00F96790">
        <w:rPr>
          <w:rFonts w:ascii="Arial" w:hAnsi="Arial" w:cs="Arial"/>
          <w:i/>
        </w:rPr>
        <w:t>Elements of Forecasting</w:t>
      </w:r>
      <w:r w:rsidRPr="00F96790">
        <w:rPr>
          <w:rFonts w:ascii="Arial" w:hAnsi="Arial" w:cs="Arial"/>
        </w:rPr>
        <w:t xml:space="preserve">, Fourth Edition. (Thomson South-Western, Canada) </w:t>
      </w:r>
    </w:p>
    <w:p w:rsidR="00C63272" w:rsidRDefault="00C63272" w:rsidP="00C6327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lang w:val="en-GB"/>
        </w:rPr>
      </w:pPr>
      <w:r w:rsidRPr="00F96790">
        <w:rPr>
          <w:rFonts w:ascii="Arial" w:hAnsi="Arial" w:cs="Arial"/>
          <w:b/>
          <w:lang w:val="en-GB"/>
        </w:rPr>
        <w:t>Pre-requisites</w:t>
      </w:r>
    </w:p>
    <w:p w:rsidR="00C63272" w:rsidRPr="00C63272" w:rsidRDefault="00C63272" w:rsidP="00C6327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Elements of e</w:t>
      </w:r>
      <w:r w:rsidRPr="00C63272">
        <w:rPr>
          <w:rFonts w:ascii="Arial" w:hAnsi="Arial" w:cs="Arial"/>
          <w:lang w:val="en-GB"/>
        </w:rPr>
        <w:t>conom</w:t>
      </w:r>
      <w:r>
        <w:rPr>
          <w:rFonts w:ascii="Arial" w:hAnsi="Arial" w:cs="Arial"/>
          <w:lang w:val="en-GB"/>
        </w:rPr>
        <w:t>et</w:t>
      </w:r>
      <w:r w:rsidRPr="00C63272">
        <w:rPr>
          <w:rFonts w:ascii="Arial" w:hAnsi="Arial" w:cs="Arial"/>
          <w:lang w:val="en-GB"/>
        </w:rPr>
        <w:t xml:space="preserve">rics and Microeconomics must be passed </w:t>
      </w:r>
      <w:r w:rsidRPr="00F96790">
        <w:rPr>
          <w:rFonts w:ascii="Arial" w:hAnsi="Arial" w:cs="Arial"/>
          <w:lang w:val="en-GB"/>
        </w:rPr>
        <w:t>before this course may be attempted.</w:t>
      </w:r>
    </w:p>
    <w:p w:rsidR="008F5525" w:rsidRPr="00F96790" w:rsidRDefault="008F5525" w:rsidP="008F5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F96790">
        <w:rPr>
          <w:rFonts w:ascii="Arial" w:hAnsi="Arial" w:cs="Arial"/>
          <w:b/>
          <w:bCs/>
          <w:lang w:val="en-GB"/>
        </w:rPr>
        <w:t>Co-requisites</w:t>
      </w:r>
    </w:p>
    <w:p w:rsidR="008F5525" w:rsidRPr="00F96790" w:rsidRDefault="008F5525" w:rsidP="008F5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 w:rsidRPr="00F96790">
        <w:rPr>
          <w:rFonts w:ascii="Arial" w:hAnsi="Arial" w:cs="Arial"/>
          <w:bCs/>
          <w:lang w:val="en-GB"/>
        </w:rPr>
        <w:t>Students can only take Quantitative finance at the same time as or after Corporate finance, not before.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</w:rPr>
      </w:pPr>
    </w:p>
    <w:p w:rsidR="00E1241D" w:rsidRPr="00F96790" w:rsidRDefault="00775D21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International economics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  <w:i/>
          <w:iCs/>
        </w:rPr>
        <w:t>Literature</w:t>
      </w:r>
    </w:p>
    <w:p w:rsidR="00775D21" w:rsidRDefault="00775D21" w:rsidP="00775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1F20"/>
        </w:rPr>
      </w:pPr>
      <w:r w:rsidRPr="00775D21">
        <w:rPr>
          <w:rFonts w:ascii="Arial" w:eastAsia="Times New Roman" w:hAnsi="Arial" w:cs="Arial"/>
          <w:color w:val="241F20"/>
        </w:rPr>
        <w:t>Krugman, P., M. Obstfeld and M. Melitz. </w:t>
      </w:r>
      <w:r w:rsidRPr="00775D21">
        <w:rPr>
          <w:rFonts w:ascii="Arial" w:eastAsia="Times New Roman" w:hAnsi="Arial" w:cs="Arial"/>
          <w:i/>
          <w:iCs/>
          <w:color w:val="241F20"/>
        </w:rPr>
        <w:t>International Economics: Theory and Policy</w:t>
      </w:r>
      <w:r w:rsidRPr="00775D21">
        <w:rPr>
          <w:rFonts w:ascii="Arial" w:eastAsia="Times New Roman" w:hAnsi="Arial" w:cs="Arial"/>
          <w:color w:val="241F20"/>
        </w:rPr>
        <w:t xml:space="preserve">. Boston, Mass.; London: Pearson/Addison-Wesley, 2014. Pearson global edition; tenth edition </w:t>
      </w:r>
    </w:p>
    <w:p w:rsidR="00775D21" w:rsidRPr="00775D21" w:rsidRDefault="00775D21" w:rsidP="00775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1F20"/>
        </w:rPr>
      </w:pPr>
      <w:r>
        <w:rPr>
          <w:rFonts w:ascii="Arial" w:eastAsia="Times New Roman" w:hAnsi="Arial" w:cs="Arial"/>
          <w:color w:val="241F20"/>
        </w:rPr>
        <w:t>Cope</w:t>
      </w:r>
      <w:r w:rsidRPr="00775D21">
        <w:rPr>
          <w:rFonts w:ascii="Arial" w:eastAsia="Times New Roman" w:hAnsi="Arial" w:cs="Arial"/>
          <w:color w:val="241F20"/>
        </w:rPr>
        <w:t>land, L. </w:t>
      </w:r>
      <w:r w:rsidRPr="00775D21">
        <w:rPr>
          <w:rFonts w:ascii="Arial" w:eastAsia="Times New Roman" w:hAnsi="Arial" w:cs="Arial"/>
          <w:i/>
          <w:iCs/>
          <w:color w:val="241F20"/>
        </w:rPr>
        <w:t>Exchange Rates and International Finance</w:t>
      </w:r>
      <w:r w:rsidRPr="00775D21">
        <w:rPr>
          <w:rFonts w:ascii="Arial" w:eastAsia="Times New Roman" w:hAnsi="Arial" w:cs="Arial"/>
          <w:color w:val="241F20"/>
        </w:rPr>
        <w:t xml:space="preserve">. Harlow: Prentice Hall, 2014. Sixth edition </w:t>
      </w:r>
    </w:p>
    <w:p w:rsidR="008F5525" w:rsidRPr="00F96790" w:rsidRDefault="008F5525" w:rsidP="00775D21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lang w:val="en-GB"/>
        </w:rPr>
      </w:pPr>
      <w:r w:rsidRPr="00F96790">
        <w:rPr>
          <w:rFonts w:ascii="Arial" w:hAnsi="Arial" w:cs="Arial"/>
          <w:b/>
          <w:lang w:val="en-GB"/>
        </w:rPr>
        <w:t>Pre-requisites</w:t>
      </w:r>
    </w:p>
    <w:p w:rsidR="008F5525" w:rsidRPr="00F96790" w:rsidRDefault="00775D21" w:rsidP="008F5525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Macroeconomics and </w:t>
      </w:r>
      <w:r w:rsidR="008F5525" w:rsidRPr="00F96790">
        <w:rPr>
          <w:rFonts w:ascii="Arial" w:hAnsi="Arial" w:cs="Arial"/>
          <w:lang w:val="en-GB"/>
        </w:rPr>
        <w:t>Microeconomics must be passed before this course may be attempted.</w:t>
      </w:r>
    </w:p>
    <w:p w:rsidR="008F5525" w:rsidRPr="00F96790" w:rsidRDefault="008F5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</w:rPr>
      </w:pPr>
    </w:p>
    <w:p w:rsidR="00F96790" w:rsidRDefault="00E1241D" w:rsidP="00F9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>Detaljni opisi predmeta mogu se naći na sajtu:</w:t>
      </w:r>
      <w:r w:rsidR="00F96790">
        <w:rPr>
          <w:rFonts w:ascii="Arial" w:hAnsi="Arial" w:cs="Arial"/>
        </w:rPr>
        <w:t xml:space="preserve"> </w:t>
      </w:r>
    </w:p>
    <w:p w:rsidR="00E1241D" w:rsidRPr="00F96790" w:rsidRDefault="00055A97" w:rsidP="00F9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30598F" w:rsidRPr="00F96790">
          <w:rPr>
            <w:rStyle w:val="Hyperlink"/>
            <w:rFonts w:ascii="Arial" w:hAnsi="Arial" w:cs="Arial"/>
          </w:rPr>
          <w:t>https://london.ac.uk/economics-and-finance-standard-route</w:t>
        </w:r>
      </w:hyperlink>
    </w:p>
    <w:p w:rsidR="00F96790" w:rsidRDefault="00F9679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Literatura za pripremu i polaganje ispita, za deo studija od druge do četvrte godine propisana je od strane LSE i sastoji se od vodećih međunarodnih izdanja, na engleskom jeziku, iz tema koje program pokriva.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Studentima koji upišu ovaj program biće omogućen pristup online bazi nastavnih materijala, a obavezna literatura će biti dostupna za iznajmljivanje u biblioteci Ekonomskog fakulteta ili za kupovinu u knjižari Ekonomskog fakulteta.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  <w:b/>
          <w:bCs/>
          <w:color w:val="1F497D"/>
        </w:rPr>
        <w:t>NASTAVA I ISPITI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Na prvoj godini studija nastava se ralizuje po programu Ekonomskog fakulteta u Beogradu, na srpskom jeziku. Nastavu i ispite realizuju profesori Ekonomskog fakulteta u Beogradu.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Počev od druge godine studija (u drugoj, trećoj i četvrtoj godini) nastava se u celosti izvodi na engleskom jeziku, na Ekonomskom fakultetu u Beogradu. Nastavu izvode profesori Ekonomskog fakulteta u Beogradu. Nastava u okviru ovog međunarodnog programa je dvosemestralna, počinje krajem septembra i završava se krajem aprila naredne godine.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Ispiti u okviru međunarodnog programa, od druge do četvrte godine studije, se realizuju na engleskom jeziku, u pisanoj formi. Sastavljanje i pregledanje ispita vrše profesori LSE. Ispiti se realizuju na Univerzitetu u Beogradu, uz tehničku pomoć Britanskog saveta.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</w:rPr>
      </w:pPr>
    </w:p>
    <w:p w:rsidR="00DE3612" w:rsidRPr="00F96790" w:rsidRDefault="00E1241D" w:rsidP="00DE361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Polaganje ispita u okviru ovog međunarodnog programa organizuje se jednom godišnje, u maju, a rezultati se objavljuju u avgustu. U slučaju da ne položi ispit, student mora ponovo da odsluša predmet i polaže ispit u maju naredne godine. Student može maksimalno tri puta da polaže jedan ispit.</w:t>
      </w:r>
      <w:bookmarkStart w:id="1" w:name="page5"/>
      <w:bookmarkEnd w:id="1"/>
    </w:p>
    <w:p w:rsidR="00DE3612" w:rsidRPr="00F96790" w:rsidRDefault="00DE3612" w:rsidP="00DE361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E1241D" w:rsidRPr="00F96790" w:rsidRDefault="00DE3612" w:rsidP="00DE361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  <w:b/>
          <w:bCs/>
          <w:color w:val="1F497D"/>
        </w:rPr>
        <w:t xml:space="preserve"> </w:t>
      </w:r>
      <w:r w:rsidR="00E1241D" w:rsidRPr="00F96790">
        <w:rPr>
          <w:rFonts w:ascii="Arial" w:hAnsi="Arial" w:cs="Arial"/>
          <w:b/>
          <w:bCs/>
          <w:color w:val="1F497D"/>
        </w:rPr>
        <w:t>USLOVI UPISA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Studenti se opredeljuju za upis ovog međunarodnog programa nakon završene prve godine osnovnih studija na Ekonomskom fakultetu u Beogradu.</w:t>
      </w:r>
      <w:r w:rsidR="007646A9" w:rsidRPr="00F96790">
        <w:rPr>
          <w:rFonts w:ascii="Arial" w:hAnsi="Arial" w:cs="Arial"/>
        </w:rPr>
        <w:t xml:space="preserve"> Studenti moraju imati položen ispit iz Matemati</w:t>
      </w:r>
      <w:r w:rsidR="00CB63A2" w:rsidRPr="00F96790">
        <w:rPr>
          <w:rFonts w:ascii="Arial" w:hAnsi="Arial" w:cs="Arial"/>
        </w:rPr>
        <w:t>ke i Osnova statističke analize</w:t>
      </w:r>
      <w:r w:rsidR="007379A7" w:rsidRPr="00F96790">
        <w:rPr>
          <w:rFonts w:ascii="Arial" w:hAnsi="Arial" w:cs="Arial"/>
        </w:rPr>
        <w:t xml:space="preserve"> i stečen uslov za upis u II godinu domaćih studija (min. 48 ESPB)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</w:rPr>
      </w:pPr>
    </w:p>
    <w:p w:rsidR="00E1241D" w:rsidRPr="00F96790" w:rsidRDefault="007646A9" w:rsidP="00D9323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Jedan od uslova</w:t>
      </w:r>
      <w:r w:rsidR="00E1241D" w:rsidRPr="00F96790">
        <w:rPr>
          <w:rFonts w:ascii="Arial" w:hAnsi="Arial" w:cs="Arial"/>
        </w:rPr>
        <w:t xml:space="preserve"> za upis na ovaj program je</w:t>
      </w:r>
      <w:r w:rsidRPr="00F96790">
        <w:rPr>
          <w:rFonts w:ascii="Arial" w:hAnsi="Arial" w:cs="Arial"/>
        </w:rPr>
        <w:t xml:space="preserve"> </w:t>
      </w:r>
      <w:r w:rsidR="00E1241D" w:rsidRPr="00F96790">
        <w:rPr>
          <w:rFonts w:ascii="Arial" w:hAnsi="Arial" w:cs="Arial"/>
        </w:rPr>
        <w:t xml:space="preserve">prethodno položen </w:t>
      </w:r>
      <w:r w:rsidR="00D93239" w:rsidRPr="00F96790">
        <w:rPr>
          <w:rFonts w:ascii="Arial" w:hAnsi="Arial" w:cs="Arial"/>
        </w:rPr>
        <w:t>ispit međunarodni test iz engleskog jezika. Sertifikati (ne stariji od tri godine) koji mogu biti priznati prilikom konkurisanja za upis su:</w:t>
      </w:r>
    </w:p>
    <w:p w:rsidR="00D93239" w:rsidRPr="00F96790" w:rsidRDefault="00D93239" w:rsidP="00D9323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Arial" w:hAnsi="Arial" w:cs="Arial"/>
        </w:rPr>
      </w:pPr>
    </w:p>
    <w:p w:rsidR="004466DA" w:rsidRPr="004466DA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Cambridge Certificate of Proficiency in English.</w:t>
      </w:r>
    </w:p>
    <w:p w:rsidR="004466DA" w:rsidRPr="004466DA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Cambridge English Language 1119 conducted by the University of Cambridge Local Examinations Syndicate (grade 6).</w:t>
      </w:r>
    </w:p>
    <w:p w:rsidR="004466DA" w:rsidRPr="004466DA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Hong Kong Examination Authority Advanced level Use of English (grade C).</w:t>
      </w:r>
    </w:p>
    <w:p w:rsidR="004466DA" w:rsidRPr="004466DA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Hong Kong Certificate of Education English Language, Syllabus B (grade C).</w:t>
      </w:r>
    </w:p>
    <w:p w:rsidR="004466DA" w:rsidRPr="004466DA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Hong Kong Certificate of Education Examination (HKCEE) English Language section from 2007 (level 3).</w:t>
      </w:r>
    </w:p>
    <w:p w:rsidR="004466DA" w:rsidRPr="004466DA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Hong Kong Diploma of Secondary Education (HKDSE): English Language (level 3).</w:t>
      </w:r>
    </w:p>
    <w:p w:rsidR="00665F1B" w:rsidRPr="004466DA" w:rsidRDefault="004466DA" w:rsidP="00665F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International General Certificate of Education (IGCSE): English as a Second Language (grade B).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Hong Kong, an associate degree, higher diploma or degree awarded by an acceptable university.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Hong Kong Examinations Authority AS 'Use of English' (grade E).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International General Certificate of Secondary Education (IGCSE): English as a Second Language (grade C).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Malaysia, an accredited foundation programme, diploma or degree awarded by an acceptable institute.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Malaysia, HELP Foundation programme: Advanced English module (accepted for degrees led by LSE and the International Foundation Programme).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Malaysian Certificate of Education / Sijil Pelajaran Malaysia: English Language (122 or 322) grade C (6).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PSB Academy Diploma (at least 9 months full-time or 12 months part-time in duration).</w:t>
      </w:r>
    </w:p>
    <w:p w:rsidR="004466DA" w:rsidRPr="004466DA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Singapore Polytechnic: a diploma awarded by an acceptable polytechnic in Singapore.</w:t>
      </w:r>
    </w:p>
    <w:p w:rsidR="004466DA" w:rsidRDefault="004466DA" w:rsidP="004466D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</w:p>
    <w:p w:rsidR="004466DA" w:rsidRPr="004466DA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Cambridge Certificate of Advanced English.</w:t>
      </w:r>
    </w:p>
    <w:p w:rsidR="004466DA" w:rsidRPr="004466DA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City &amp; Guilds International ESOL 8984 Mastery award.</w:t>
      </w:r>
    </w:p>
    <w:p w:rsidR="004466DA" w:rsidRPr="004466DA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(IELTS) International English Language Testing System: 6 overall, with 5.5 in each sub-test.</w:t>
      </w:r>
    </w:p>
    <w:p w:rsidR="004466DA" w:rsidRPr="004466DA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Pearson Test of English, Academic: 54 overall, with 54 in Reading and Writing elements.</w:t>
      </w:r>
    </w:p>
    <w:p w:rsidR="004466DA" w:rsidRPr="004466DA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University of Cambridge Local Examinations Syndicate (UCLES) Business English Certificate, Level 3 only (BEC 3 award).</w:t>
      </w:r>
    </w:p>
    <w:p w:rsidR="004466DA" w:rsidRPr="004466DA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  <w:r w:rsidRPr="004466DA">
        <w:rPr>
          <w:rFonts w:ascii="Arial" w:hAnsi="Arial" w:cs="Arial"/>
        </w:rPr>
        <w:t>(TOEFL) iBT Test of English as a Foreign Language: 87 overall, with 21+ in Reading and Writing sub-tests and 19+ in Speaking and Listening sub-tests.</w:t>
      </w:r>
    </w:p>
    <w:p w:rsidR="004466DA" w:rsidRPr="004466DA" w:rsidRDefault="004466DA" w:rsidP="004466D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</w:p>
    <w:p w:rsidR="00665F1B" w:rsidRPr="00F96790" w:rsidRDefault="00665F1B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</w:p>
    <w:p w:rsidR="00665F1B" w:rsidRPr="00F96790" w:rsidRDefault="00665F1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</w:p>
    <w:p w:rsidR="000C0CCE" w:rsidRPr="00F96790" w:rsidRDefault="00BE61D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Detaljan opis uslova za upis dati su i zvaničnoj stranici programa</w:t>
      </w:r>
      <w:r w:rsidR="000C0CCE" w:rsidRPr="00F96790">
        <w:rPr>
          <w:rFonts w:ascii="Arial" w:hAnsi="Arial" w:cs="Arial"/>
        </w:rPr>
        <w:t xml:space="preserve"> </w:t>
      </w:r>
      <w:hyperlink r:id="rId10" w:anchor="awards" w:history="1">
        <w:r w:rsidR="00665F1B" w:rsidRPr="00314AC6">
          <w:rPr>
            <w:rStyle w:val="Hyperlink"/>
            <w:rFonts w:ascii="Arial" w:hAnsi="Arial" w:cs="Arial"/>
          </w:rPr>
          <w:t>https://london.ac.uk/applications/how-apply/english-requirements#awards</w:t>
        </w:r>
      </w:hyperlink>
      <w:r w:rsidR="00665F1B">
        <w:rPr>
          <w:rFonts w:ascii="Arial" w:hAnsi="Arial" w:cs="Arial"/>
        </w:rPr>
        <w:t xml:space="preserve"> </w:t>
      </w:r>
    </w:p>
    <w:p w:rsidR="000C0CCE" w:rsidRPr="00F96790" w:rsidRDefault="000C0CC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</w:p>
    <w:p w:rsidR="00E1241D" w:rsidRPr="00F96790" w:rsidRDefault="00302D1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lastRenderedPageBreak/>
        <w:t xml:space="preserve">Za studente koji ne poseduju neki od navedenih sertifikata </w:t>
      </w:r>
      <w:r w:rsidR="00E1241D" w:rsidRPr="00F96790">
        <w:rPr>
          <w:rFonts w:ascii="Arial" w:hAnsi="Arial" w:cs="Arial"/>
        </w:rPr>
        <w:t>Ekonomski fakultet će u saradnji sa Britanskim savetom u Beogradu obezbediti podršku stud</w:t>
      </w:r>
      <w:r w:rsidR="005A6118" w:rsidRPr="00F96790">
        <w:rPr>
          <w:rFonts w:ascii="Arial" w:hAnsi="Arial" w:cs="Arial"/>
        </w:rPr>
        <w:t>entima zainteresovanim za međuna</w:t>
      </w:r>
      <w:r w:rsidR="00E1241D" w:rsidRPr="00F96790">
        <w:rPr>
          <w:rFonts w:ascii="Arial" w:hAnsi="Arial" w:cs="Arial"/>
        </w:rPr>
        <w:t xml:space="preserve">rodni program u pripremi za polaganje </w:t>
      </w:r>
      <w:r w:rsidR="00E1241D" w:rsidRPr="00F96790">
        <w:rPr>
          <w:rFonts w:ascii="Arial" w:hAnsi="Arial" w:cs="Arial"/>
          <w:b/>
        </w:rPr>
        <w:t>IELTS testa</w:t>
      </w:r>
      <w:r w:rsidR="00E1241D" w:rsidRPr="00F96790">
        <w:rPr>
          <w:rFonts w:ascii="Arial" w:hAnsi="Arial" w:cs="Arial"/>
        </w:rPr>
        <w:t>.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</w:p>
    <w:p w:rsidR="00D93239" w:rsidRPr="00F96790" w:rsidRDefault="00D93239" w:rsidP="00D9323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IELTS (International English Language Testing System / Međunarodni sistem za testiranje znanja engleskog jezika) je najpopularniji test znanja engleskog jezika u svetu. Svake godine više od dva miliona ljudi polaže ovaj test. Test IELTS se polaže pri Britanskom savetu u Beogradu. Termini polaganja se zakazuju 1-2 puta mesečno. Prijavu za IELTS test je potrebno izvršiti pet nedelja pred željeni datum polaganja. Posle ovog roka, prijava je moguća samo ukoliko ostane slobodnih mesta. Test se sastoji iz 4 dela – slušanje, čitanje, pisanje i govor. Svaki deo se ocenjuje pojedinačno i ukupna ocena predstavlja prosek ostvarenih pojedinačnih ocena. Za upis na međunarodni program “Economics and Finance” potrebno je ostvariti ukupnu minimalnu ocenu 6,0 i osvojiti najmanje ocenu 5,5 na svakom pojedinačnom delu (slušanje, čitanje, pisanje i govor). Sve informacije o samom testu, načinu pripreme i prijave polaganja možete naći sa stranici</w:t>
      </w:r>
    </w:p>
    <w:p w:rsidR="00D93239" w:rsidRPr="00F96790" w:rsidRDefault="00D93239" w:rsidP="00D9323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D93239" w:rsidRPr="00F96790" w:rsidRDefault="00D93239" w:rsidP="00D9323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Britanskog saveta u Beogradu </w:t>
      </w:r>
      <w:hyperlink r:id="rId11" w:history="1">
        <w:r w:rsidRPr="00F96790">
          <w:rPr>
            <w:rFonts w:ascii="Arial" w:hAnsi="Arial" w:cs="Arial"/>
          </w:rPr>
          <w:t xml:space="preserve"> </w:t>
        </w:r>
        <w:r w:rsidRPr="00F96790">
          <w:rPr>
            <w:rFonts w:ascii="Arial" w:hAnsi="Arial" w:cs="Arial"/>
            <w:color w:val="0000FF"/>
            <w:u w:val="single"/>
          </w:rPr>
          <w:t>http://www.britishcouncil.rs/exam/ielt</w:t>
        </w:r>
      </w:hyperlink>
      <w:r w:rsidRPr="00F96790">
        <w:rPr>
          <w:rFonts w:ascii="Arial" w:hAnsi="Arial" w:cs="Arial"/>
          <w:color w:val="0000FF"/>
          <w:u w:val="single"/>
        </w:rPr>
        <w:t>s</w:t>
      </w:r>
    </w:p>
    <w:p w:rsidR="00D93239" w:rsidRPr="00F96790" w:rsidRDefault="00D932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Upis </w:t>
      </w:r>
      <w:r w:rsidR="004466DA">
        <w:rPr>
          <w:rFonts w:ascii="Arial" w:hAnsi="Arial" w:cs="Arial"/>
        </w:rPr>
        <w:t>druge</w:t>
      </w:r>
      <w:r w:rsidRPr="00F96790">
        <w:rPr>
          <w:rFonts w:ascii="Arial" w:hAnsi="Arial" w:cs="Arial"/>
        </w:rPr>
        <w:t xml:space="preserve"> generacije studenata na ovaj program biće vršen u 201</w:t>
      </w:r>
      <w:r w:rsidR="004466DA">
        <w:rPr>
          <w:rFonts w:ascii="Arial" w:hAnsi="Arial" w:cs="Arial"/>
        </w:rPr>
        <w:t>8</w:t>
      </w:r>
      <w:r w:rsidRPr="00F96790">
        <w:rPr>
          <w:rFonts w:ascii="Arial" w:hAnsi="Arial" w:cs="Arial"/>
        </w:rPr>
        <w:t xml:space="preserve">. godini, na konkursnoj osnovi. Na kraju prve </w:t>
      </w:r>
      <w:r w:rsidR="004466DA">
        <w:rPr>
          <w:rFonts w:ascii="Arial" w:hAnsi="Arial" w:cs="Arial"/>
        </w:rPr>
        <w:t>godine studija (u septembru 2018</w:t>
      </w:r>
      <w:r w:rsidRPr="00F96790">
        <w:rPr>
          <w:rFonts w:ascii="Arial" w:hAnsi="Arial" w:cs="Arial"/>
        </w:rPr>
        <w:t>.) obaviće se rangiranje zainteresovanih studenata prema sledećim kriterijumima: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</w:rPr>
      </w:pPr>
    </w:p>
    <w:p w:rsidR="00E1241D" w:rsidRPr="00F96790" w:rsidRDefault="00E1241D" w:rsidP="00A9565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Uspeh ostvaren na studijama prve godine na Ekonomskom fakultetu (prosečna ocena x broj ESPB)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</w:rPr>
      </w:pPr>
    </w:p>
    <w:p w:rsidR="00E1241D" w:rsidRPr="00F96790" w:rsidRDefault="00E1241D" w:rsidP="00A9565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Uspeh ostvaren na testu iz engleskog jezika 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Broj bodova će se izračunavati prema sledećoj formuli: 75% ponder uspeh studiranja (suma ESPBxOcena) i 25% uspeh na testu</w:t>
      </w:r>
      <w:r w:rsidR="00CC64AC" w:rsidRPr="00F96790">
        <w:rPr>
          <w:rFonts w:ascii="Arial" w:hAnsi="Arial" w:cs="Arial"/>
        </w:rPr>
        <w:t xml:space="preserve"> iz engleskog jezika</w:t>
      </w:r>
      <w:r w:rsidRPr="00F96790">
        <w:rPr>
          <w:rFonts w:ascii="Arial" w:hAnsi="Arial" w:cs="Arial"/>
        </w:rPr>
        <w:t>. Prvih 40 studenata sa rang liste će steći pravo upisa na ovaj međunarodni program.</w:t>
      </w:r>
    </w:p>
    <w:p w:rsidR="000C0CCE" w:rsidRPr="00F96790" w:rsidRDefault="000C0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>Odabrani  studenti  se  moraju  registrovati  preko  On-line  sistema  Univerziteta  u  Londonu,  a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</w:rPr>
      </w:pP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Ekonomski fakultet će pružiti tehničku pomoć studentima u vezi sa ovom registracijom. Način registracije biće naknadno objavljen.</w:t>
      </w:r>
    </w:p>
    <w:p w:rsidR="00F96790" w:rsidRDefault="00F9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F63DC6" w:rsidRDefault="00F63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F63DC6" w:rsidRDefault="00F63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F63DC6" w:rsidRDefault="00F63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F96790" w:rsidRPr="00F96790" w:rsidRDefault="00F9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</w:rPr>
      </w:pPr>
    </w:p>
    <w:p w:rsidR="00E1241D" w:rsidRPr="00F96790" w:rsidRDefault="000A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1F497D"/>
        </w:rPr>
        <w:t>Š</w:t>
      </w:r>
      <w:r w:rsidR="00E1241D" w:rsidRPr="00F96790">
        <w:rPr>
          <w:rFonts w:ascii="Arial" w:hAnsi="Arial" w:cs="Arial"/>
          <w:b/>
          <w:bCs/>
          <w:color w:val="1F497D"/>
        </w:rPr>
        <w:t>KOLARINA</w:t>
      </w:r>
    </w:p>
    <w:p w:rsidR="00E1241D" w:rsidRPr="00F96790" w:rsidRDefault="00E1241D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</w:rPr>
      </w:pPr>
    </w:p>
    <w:p w:rsidR="00DE3612" w:rsidRPr="00F96790" w:rsidRDefault="00E1241D" w:rsidP="00F9679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" w:hAnsi="Arial" w:cs="Arial"/>
        </w:rPr>
      </w:pPr>
      <w:r w:rsidRPr="00F96790">
        <w:rPr>
          <w:rFonts w:ascii="Arial" w:hAnsi="Arial" w:cs="Arial"/>
        </w:rPr>
        <w:t>Studenti koji studiraju u okviru ovog programa, a imaju status budžetskog studenta na Univerzitetu u Beogradu, plaćaju samo školarinu Univerzitetu u Londonu. Oni student koji na Univerzitetu u Beogradu imaju status samofinansirajućeg studenta, pored školarine koja se plaća Univerzitetu u Londonu, plaćaju i školarinu Ekonomskom fakultetu u Beogradu, na način i u iznosu koji su definisani za osnovne akademske studije na Ekonomskom fakultetu.</w:t>
      </w:r>
    </w:p>
    <w:p w:rsidR="00E1241D" w:rsidRPr="00F96790" w:rsidRDefault="00E1241D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Školarina Univerziteta u Londonu se plaća </w:t>
      </w:r>
      <w:r w:rsidR="008F3C94" w:rsidRPr="00F96790">
        <w:rPr>
          <w:rFonts w:ascii="Arial" w:hAnsi="Arial" w:cs="Arial"/>
        </w:rPr>
        <w:t xml:space="preserve">direktno Univerzitetu u Londonu i plaća se </w:t>
      </w:r>
      <w:r w:rsidRPr="00F96790">
        <w:rPr>
          <w:rFonts w:ascii="Arial" w:hAnsi="Arial" w:cs="Arial"/>
        </w:rPr>
        <w:t>fazno, za svaku aktivnost posebno. U nastavku je dat pregled školarina.</w:t>
      </w:r>
      <w:r w:rsidR="00EA34D2" w:rsidRPr="00F96790">
        <w:rPr>
          <w:rStyle w:val="FootnoteReference"/>
          <w:rFonts w:ascii="Arial" w:hAnsi="Arial" w:cs="Arial"/>
        </w:rPr>
        <w:footnoteReference w:id="4"/>
      </w:r>
    </w:p>
    <w:p w:rsidR="009F435C" w:rsidRPr="00F96790" w:rsidRDefault="009F435C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Arial" w:hAnsi="Arial" w:cs="Arial"/>
        </w:rPr>
      </w:pPr>
    </w:p>
    <w:tbl>
      <w:tblPr>
        <w:tblW w:w="9617" w:type="dxa"/>
        <w:tblInd w:w="93" w:type="dxa"/>
        <w:tblLook w:val="04A0"/>
      </w:tblPr>
      <w:tblGrid>
        <w:gridCol w:w="3842"/>
        <w:gridCol w:w="4348"/>
        <w:gridCol w:w="1427"/>
      </w:tblGrid>
      <w:tr w:rsidR="00F63DC6" w:rsidRPr="00F33D4E" w:rsidTr="00155E29">
        <w:trPr>
          <w:trHeight w:val="283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Tuition fees: 2019/20</w:t>
            </w:r>
          </w:p>
        </w:tc>
      </w:tr>
      <w:tr w:rsidR="00F63DC6" w:rsidRPr="00F33D4E" w:rsidTr="00155E29">
        <w:trPr>
          <w:trHeight w:val="269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GBP (2019)</w:t>
            </w:r>
          </w:p>
        </w:tc>
      </w:tr>
      <w:tr w:rsidR="00F63DC6" w:rsidRPr="00F33D4E" w:rsidTr="00155E29">
        <w:trPr>
          <w:trHeight w:val="26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Year 2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IELTS test*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IELTS test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Application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za prijavu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97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Registration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za upis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F63DC6" w:rsidRPr="00F33D4E" w:rsidTr="00155E29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C6" w:rsidRPr="00F33D4E" w:rsidRDefault="006C6C1C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Examination fee (2</w:t>
            </w:r>
            <w:r w:rsidR="00F63DC6"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full courses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 half courses</w:t>
            </w:r>
            <w:r w:rsidR="00F63DC6" w:rsidRPr="00F33D4E">
              <w:rPr>
                <w:rFonts w:ascii="Arial" w:hAnsi="Arial" w:cs="Arial"/>
                <w:color w:val="000000"/>
                <w:sz w:val="18"/>
                <w:szCs w:val="18"/>
              </w:rPr>
              <w:t>)**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za ispite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6C6C1C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</w:t>
            </w:r>
          </w:p>
        </w:tc>
      </w:tr>
      <w:tr w:rsidR="00F63DC6" w:rsidRPr="00F33D4E" w:rsidTr="00155E29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Accreditation of prior learning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Oslobađanje polaganja Matematike 1 i Statistike 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103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British council invigilation fee***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Britanskog saveta ispit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240 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year 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- 2. godina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</w:t>
            </w:r>
            <w:r w:rsidR="006C6C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533</w:t>
            </w:r>
          </w:p>
        </w:tc>
      </w:tr>
      <w:tr w:rsidR="00F63DC6" w:rsidRPr="00F33D4E" w:rsidTr="00155E29">
        <w:trPr>
          <w:trHeight w:val="26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*Ukoliko student polaže IELTS test</w:t>
            </w:r>
          </w:p>
        </w:tc>
      </w:tr>
      <w:tr w:rsidR="00F63DC6" w:rsidRPr="00F33D4E" w:rsidTr="00155E29">
        <w:trPr>
          <w:trHeight w:val="269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6C6C1C" w:rsidP="00155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63DC6" w:rsidRPr="00F33D4E">
              <w:rPr>
                <w:rFonts w:ascii="Arial" w:hAnsi="Arial" w:cs="Arial"/>
                <w:color w:val="000000"/>
                <w:sz w:val="18"/>
                <w:szCs w:val="18"/>
              </w:rPr>
              <w:t>*Ukoliko je student oslobođen polaganja Matematike 1 i Statistike 1</w:t>
            </w:r>
          </w:p>
        </w:tc>
      </w:tr>
      <w:tr w:rsidR="00F63DC6" w:rsidRPr="00F33D4E" w:rsidTr="00155E29">
        <w:trPr>
          <w:trHeight w:val="269"/>
        </w:trPr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***Prema trenutno dostupnim informacijama</w:t>
            </w:r>
          </w:p>
        </w:tc>
      </w:tr>
      <w:tr w:rsidR="00F63DC6" w:rsidRPr="00F33D4E" w:rsidTr="00155E29">
        <w:trPr>
          <w:trHeight w:val="269"/>
        </w:trPr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Year 3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Continuing registration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za upis u narednu godinu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457 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Examination fee (4 full courses)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za ispite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1,208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British council invigilation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Britanskog saveta ispit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240 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year 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- 3. godina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1,905</w:t>
            </w:r>
          </w:p>
        </w:tc>
      </w:tr>
      <w:tr w:rsidR="00F63DC6" w:rsidRPr="00F33D4E" w:rsidTr="00155E29">
        <w:trPr>
          <w:trHeight w:val="26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63DC6" w:rsidRPr="00F33D4E" w:rsidTr="00155E29">
        <w:trPr>
          <w:trHeight w:val="269"/>
        </w:trPr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Year 4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Continuing registration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za upis u narednu godinu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457 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2C7168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Examination fee (4</w:t>
            </w:r>
            <w:r w:rsidR="00F63DC6"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full courses)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za ispite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6C6C1C">
              <w:rPr>
                <w:rFonts w:ascii="Arial" w:hAnsi="Arial" w:cs="Arial"/>
                <w:color w:val="000000"/>
                <w:sz w:val="18"/>
                <w:szCs w:val="18"/>
              </w:rPr>
              <w:t>1,208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British council invigilation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Naknada Britanskog saveta ispit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240 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year 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- 4. godina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1,</w:t>
            </w:r>
            <w:r w:rsidR="006C6C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905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6,343</w:t>
            </w: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DC6" w:rsidRPr="00F33D4E" w:rsidTr="00155E29">
        <w:trPr>
          <w:trHeight w:val="26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per year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155E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Prosek po godini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DC6" w:rsidRPr="00F33D4E" w:rsidRDefault="00F63DC6" w:rsidP="00F63DC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2,114</w:t>
            </w:r>
          </w:p>
        </w:tc>
      </w:tr>
    </w:tbl>
    <w:p w:rsidR="000C0CCE" w:rsidRPr="00F96790" w:rsidRDefault="000C0CCE" w:rsidP="004848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EA34D2" w:rsidRPr="00F96790" w:rsidRDefault="00E1241D" w:rsidP="004848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96790">
        <w:rPr>
          <w:rFonts w:ascii="Arial" w:hAnsi="Arial" w:cs="Arial"/>
        </w:rPr>
        <w:t xml:space="preserve">Za sva dalja pitanja i informacije možete se obratiti Kancelariji za međunarodnu saradnju (br. 154,I sprat) ili na email: </w:t>
      </w:r>
      <w:hyperlink r:id="rId12" w:history="1">
        <w:r w:rsidRPr="00F96790">
          <w:rPr>
            <w:rFonts w:ascii="Arial" w:hAnsi="Arial" w:cs="Arial"/>
          </w:rPr>
          <w:t xml:space="preserve"> </w:t>
        </w:r>
        <w:r w:rsidRPr="00F96790">
          <w:rPr>
            <w:rFonts w:ascii="Arial" w:hAnsi="Arial" w:cs="Arial"/>
            <w:color w:val="0000FF"/>
            <w:u w:val="single"/>
          </w:rPr>
          <w:t>cis@ekof.bg.ac.r</w:t>
        </w:r>
      </w:hyperlink>
      <w:r w:rsidRPr="00F96790">
        <w:rPr>
          <w:rFonts w:ascii="Arial" w:hAnsi="Arial" w:cs="Arial"/>
          <w:color w:val="0000FF"/>
          <w:u w:val="single"/>
        </w:rPr>
        <w:t>s</w:t>
      </w:r>
    </w:p>
    <w:sectPr w:rsidR="00EA34D2" w:rsidRPr="00F96790" w:rsidSect="00AF33E6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67" w:rsidRDefault="002E4967" w:rsidP="00BD579A">
      <w:pPr>
        <w:spacing w:after="0" w:line="240" w:lineRule="auto"/>
      </w:pPr>
      <w:r>
        <w:separator/>
      </w:r>
    </w:p>
  </w:endnote>
  <w:endnote w:type="continuationSeparator" w:id="1">
    <w:p w:rsidR="002E4967" w:rsidRDefault="002E4967" w:rsidP="00B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67" w:rsidRDefault="002E4967" w:rsidP="00BD579A">
      <w:pPr>
        <w:spacing w:after="0" w:line="240" w:lineRule="auto"/>
      </w:pPr>
      <w:r>
        <w:separator/>
      </w:r>
    </w:p>
  </w:footnote>
  <w:footnote w:type="continuationSeparator" w:id="1">
    <w:p w:rsidR="002E4967" w:rsidRDefault="002E4967" w:rsidP="00BD579A">
      <w:pPr>
        <w:spacing w:after="0" w:line="240" w:lineRule="auto"/>
      </w:pPr>
      <w:r>
        <w:continuationSeparator/>
      </w:r>
    </w:p>
  </w:footnote>
  <w:footnote w:id="2">
    <w:p w:rsidR="00AF33E6" w:rsidRDefault="00BD579A">
      <w:pPr>
        <w:pStyle w:val="FootnoteText"/>
      </w:pPr>
      <w:r>
        <w:rPr>
          <w:rStyle w:val="FootnoteReference"/>
          <w:rFonts w:cstheme="minorBidi"/>
        </w:rPr>
        <w:footnoteRef/>
      </w:r>
      <w:r>
        <w:t xml:space="preserve"> </w:t>
      </w:r>
      <w:r w:rsidRPr="00BD579A">
        <w:t>Sociologija, Matematika, Osnovi ekonomije, Osnovi statističke analize, Ekonomika preduzeća, Finansijsko računovodstvo i Osnovi makroekonomije</w:t>
      </w:r>
      <w:r>
        <w:t>.</w:t>
      </w:r>
    </w:p>
  </w:footnote>
  <w:footnote w:id="3">
    <w:p w:rsidR="00AF33E6" w:rsidRDefault="00BD579A">
      <w:pPr>
        <w:pStyle w:val="FootnoteText"/>
      </w:pPr>
      <w:r>
        <w:rPr>
          <w:rStyle w:val="FootnoteReference"/>
          <w:rFonts w:cstheme="minorBidi"/>
        </w:rPr>
        <w:footnoteRef/>
      </w:r>
      <w:r>
        <w:t xml:space="preserve"> </w:t>
      </w:r>
      <w:r w:rsidRPr="00BD579A">
        <w:t>Studenti ekonomskog fakulteta koji su na prvoj godini osnovnih studija položili ispit iz Matematike i Osnova statističke analize oslobađaju se polaganja ispita Mathematics 1 i Statistics 1, u okviru međunarodnog programa.</w:t>
      </w:r>
    </w:p>
  </w:footnote>
  <w:footnote w:id="4">
    <w:p w:rsidR="00AF33E6" w:rsidRDefault="00EA34D2">
      <w:pPr>
        <w:pStyle w:val="FootnoteText"/>
      </w:pPr>
      <w:r>
        <w:rPr>
          <w:rStyle w:val="FootnoteReference"/>
          <w:rFonts w:cstheme="minorBidi"/>
        </w:rPr>
        <w:footnoteRef/>
      </w:r>
      <w:r>
        <w:t xml:space="preserve"> </w:t>
      </w:r>
      <w:r w:rsidRPr="000F07DC">
        <w:rPr>
          <w:rFonts w:ascii="Arial" w:hAnsi="Arial" w:cs="Arial"/>
          <w:sz w:val="18"/>
          <w:szCs w:val="18"/>
        </w:rPr>
        <w:t xml:space="preserve">Školarine su definisane u britanskim funtama i podložne su korekciji za do 5% godišnje. </w:t>
      </w:r>
      <w:r w:rsidR="002B0EE1">
        <w:rPr>
          <w:rFonts w:ascii="Arial" w:hAnsi="Arial" w:cs="Arial"/>
          <w:sz w:val="18"/>
          <w:szCs w:val="18"/>
        </w:rPr>
        <w:t>P</w:t>
      </w:r>
      <w:r w:rsidR="002B0EE1" w:rsidRPr="002B0EE1">
        <w:rPr>
          <w:rFonts w:ascii="Arial" w:hAnsi="Arial" w:cs="Arial"/>
          <w:sz w:val="18"/>
          <w:szCs w:val="18"/>
        </w:rPr>
        <w:t xml:space="preserve">regled troškova </w:t>
      </w:r>
      <w:r w:rsidR="002B0EE1">
        <w:rPr>
          <w:rFonts w:ascii="Arial" w:hAnsi="Arial" w:cs="Arial"/>
          <w:sz w:val="18"/>
          <w:szCs w:val="18"/>
        </w:rPr>
        <w:t xml:space="preserve">školarine </w:t>
      </w:r>
      <w:r w:rsidR="002B0EE1" w:rsidRPr="002B0EE1">
        <w:rPr>
          <w:rFonts w:ascii="Arial" w:hAnsi="Arial" w:cs="Arial"/>
          <w:sz w:val="18"/>
          <w:szCs w:val="18"/>
        </w:rPr>
        <w:t xml:space="preserve">dostupan i na stranici </w:t>
      </w:r>
      <w:hyperlink r:id="rId1" w:history="1">
        <w:r w:rsidR="002B0EE1" w:rsidRPr="002B0EE1">
          <w:rPr>
            <w:rStyle w:val="Hyperlink"/>
            <w:rFonts w:ascii="Arial" w:hAnsi="Arial" w:cs="Arial"/>
            <w:sz w:val="18"/>
            <w:szCs w:val="18"/>
          </w:rPr>
          <w:t>https://london.ac.uk/sites/default/files/schedules/emfss_feeschedule_18-19.pdf</w:t>
        </w:r>
      </w:hyperlink>
      <w:r w:rsidR="002B0EE1" w:rsidRPr="002B0EE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64E1C4F"/>
    <w:multiLevelType w:val="multilevel"/>
    <w:tmpl w:val="5A6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E8100E"/>
    <w:multiLevelType w:val="multilevel"/>
    <w:tmpl w:val="4B4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3F08EF"/>
    <w:multiLevelType w:val="multilevel"/>
    <w:tmpl w:val="CBB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9B232F"/>
    <w:multiLevelType w:val="multilevel"/>
    <w:tmpl w:val="D0B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3F7DBE"/>
    <w:multiLevelType w:val="hybridMultilevel"/>
    <w:tmpl w:val="5E58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46C23"/>
    <w:multiLevelType w:val="multilevel"/>
    <w:tmpl w:val="84F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021DD"/>
    <w:multiLevelType w:val="hybridMultilevel"/>
    <w:tmpl w:val="A36A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C499C"/>
    <w:multiLevelType w:val="multilevel"/>
    <w:tmpl w:val="389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13DC6"/>
    <w:multiLevelType w:val="multilevel"/>
    <w:tmpl w:val="3DD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56A74"/>
    <w:multiLevelType w:val="hybridMultilevel"/>
    <w:tmpl w:val="5AF6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3FC4"/>
    <w:multiLevelType w:val="hybridMultilevel"/>
    <w:tmpl w:val="184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3C7C"/>
    <w:multiLevelType w:val="multilevel"/>
    <w:tmpl w:val="3044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839D9"/>
    <w:multiLevelType w:val="multilevel"/>
    <w:tmpl w:val="172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F66CDC"/>
    <w:multiLevelType w:val="hybridMultilevel"/>
    <w:tmpl w:val="F190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04CC3"/>
    <w:multiLevelType w:val="multilevel"/>
    <w:tmpl w:val="540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77167"/>
    <w:multiLevelType w:val="multilevel"/>
    <w:tmpl w:val="B26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23"/>
  </w:num>
  <w:num w:numId="15">
    <w:abstractNumId w:val="20"/>
  </w:num>
  <w:num w:numId="16">
    <w:abstractNumId w:val="21"/>
  </w:num>
  <w:num w:numId="17">
    <w:abstractNumId w:val="24"/>
  </w:num>
  <w:num w:numId="18">
    <w:abstractNumId w:val="17"/>
  </w:num>
  <w:num w:numId="19">
    <w:abstractNumId w:val="10"/>
  </w:num>
  <w:num w:numId="20">
    <w:abstractNumId w:val="22"/>
  </w:num>
  <w:num w:numId="21">
    <w:abstractNumId w:val="18"/>
  </w:num>
  <w:num w:numId="22">
    <w:abstractNumId w:val="12"/>
  </w:num>
  <w:num w:numId="23">
    <w:abstractNumId w:val="25"/>
  </w:num>
  <w:num w:numId="24">
    <w:abstractNumId w:val="15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058B2"/>
    <w:rsid w:val="00003BFD"/>
    <w:rsid w:val="00013895"/>
    <w:rsid w:val="000439BC"/>
    <w:rsid w:val="00055A97"/>
    <w:rsid w:val="000A3F18"/>
    <w:rsid w:val="000B26FD"/>
    <w:rsid w:val="000C0CCE"/>
    <w:rsid w:val="000C33B6"/>
    <w:rsid w:val="000C731E"/>
    <w:rsid w:val="000F07DC"/>
    <w:rsid w:val="000F60FC"/>
    <w:rsid w:val="001131DE"/>
    <w:rsid w:val="001132FD"/>
    <w:rsid w:val="00172480"/>
    <w:rsid w:val="001829EC"/>
    <w:rsid w:val="001A7EE0"/>
    <w:rsid w:val="001B152C"/>
    <w:rsid w:val="001B27CE"/>
    <w:rsid w:val="001E0CCB"/>
    <w:rsid w:val="002058B2"/>
    <w:rsid w:val="002063E8"/>
    <w:rsid w:val="0026567B"/>
    <w:rsid w:val="00285F0C"/>
    <w:rsid w:val="0029381E"/>
    <w:rsid w:val="002A7542"/>
    <w:rsid w:val="002B0EE1"/>
    <w:rsid w:val="002C7168"/>
    <w:rsid w:val="002E4967"/>
    <w:rsid w:val="0030161F"/>
    <w:rsid w:val="00302D18"/>
    <w:rsid w:val="0030598F"/>
    <w:rsid w:val="00314AC6"/>
    <w:rsid w:val="004466DA"/>
    <w:rsid w:val="004807C9"/>
    <w:rsid w:val="0048488F"/>
    <w:rsid w:val="004B3D7B"/>
    <w:rsid w:val="005149D8"/>
    <w:rsid w:val="00516328"/>
    <w:rsid w:val="005636DB"/>
    <w:rsid w:val="00566410"/>
    <w:rsid w:val="0059066C"/>
    <w:rsid w:val="005A57CE"/>
    <w:rsid w:val="005A6118"/>
    <w:rsid w:val="005B6317"/>
    <w:rsid w:val="005C3B5E"/>
    <w:rsid w:val="006575F6"/>
    <w:rsid w:val="00665F1B"/>
    <w:rsid w:val="006C6C1C"/>
    <w:rsid w:val="006F107D"/>
    <w:rsid w:val="007379A7"/>
    <w:rsid w:val="007646A9"/>
    <w:rsid w:val="00775D21"/>
    <w:rsid w:val="007A73CB"/>
    <w:rsid w:val="007C4BDD"/>
    <w:rsid w:val="007E088E"/>
    <w:rsid w:val="007F2078"/>
    <w:rsid w:val="00821B21"/>
    <w:rsid w:val="00827D84"/>
    <w:rsid w:val="00836E4A"/>
    <w:rsid w:val="008B335E"/>
    <w:rsid w:val="008D5DCC"/>
    <w:rsid w:val="008F01DB"/>
    <w:rsid w:val="008F3C94"/>
    <w:rsid w:val="008F5525"/>
    <w:rsid w:val="00931520"/>
    <w:rsid w:val="0098743C"/>
    <w:rsid w:val="009A78F5"/>
    <w:rsid w:val="009C1BA9"/>
    <w:rsid w:val="009F435C"/>
    <w:rsid w:val="00A0030E"/>
    <w:rsid w:val="00A23934"/>
    <w:rsid w:val="00A256C3"/>
    <w:rsid w:val="00A423FF"/>
    <w:rsid w:val="00A77095"/>
    <w:rsid w:val="00A9565B"/>
    <w:rsid w:val="00AC6AF4"/>
    <w:rsid w:val="00AF33E6"/>
    <w:rsid w:val="00AF6E85"/>
    <w:rsid w:val="00AF7403"/>
    <w:rsid w:val="00B36898"/>
    <w:rsid w:val="00B80CAB"/>
    <w:rsid w:val="00BC0957"/>
    <w:rsid w:val="00BD579A"/>
    <w:rsid w:val="00BD6FFE"/>
    <w:rsid w:val="00BE61D7"/>
    <w:rsid w:val="00C01ED5"/>
    <w:rsid w:val="00C25CC3"/>
    <w:rsid w:val="00C538B7"/>
    <w:rsid w:val="00C63272"/>
    <w:rsid w:val="00C82CB6"/>
    <w:rsid w:val="00C9297A"/>
    <w:rsid w:val="00CB63A2"/>
    <w:rsid w:val="00CC16B4"/>
    <w:rsid w:val="00CC64AC"/>
    <w:rsid w:val="00CC7AA7"/>
    <w:rsid w:val="00CF7AEC"/>
    <w:rsid w:val="00D112A0"/>
    <w:rsid w:val="00D12B72"/>
    <w:rsid w:val="00D41937"/>
    <w:rsid w:val="00D50DB9"/>
    <w:rsid w:val="00D540F5"/>
    <w:rsid w:val="00D81CE1"/>
    <w:rsid w:val="00D822B1"/>
    <w:rsid w:val="00D93239"/>
    <w:rsid w:val="00D940F4"/>
    <w:rsid w:val="00D95656"/>
    <w:rsid w:val="00DE3612"/>
    <w:rsid w:val="00E1241D"/>
    <w:rsid w:val="00E1248A"/>
    <w:rsid w:val="00EA34D2"/>
    <w:rsid w:val="00ED4F23"/>
    <w:rsid w:val="00F26E77"/>
    <w:rsid w:val="00F63DC6"/>
    <w:rsid w:val="00F9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E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1D7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579A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79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65F1B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75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s@ekof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ishcouncil.rs/exam/ie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ndon.ac.uk/applications/how-apply/english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ndon.ac.uk/economics-and-finance-standard-rout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ndon.ac.uk/sites/default/files/schedules/emfss_feeschedule_18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1DF7-7A02-4E00-BE4F-B8552CA1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Cvetanovic</dc:creator>
  <cp:lastModifiedBy>Jelena Cvetanovic</cp:lastModifiedBy>
  <cp:revision>11</cp:revision>
  <cp:lastPrinted>2017-04-27T10:42:00Z</cp:lastPrinted>
  <dcterms:created xsi:type="dcterms:W3CDTF">2018-08-22T10:18:00Z</dcterms:created>
  <dcterms:modified xsi:type="dcterms:W3CDTF">2019-09-06T13:31:00Z</dcterms:modified>
</cp:coreProperties>
</file>